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文艺家协会工作经费</w:t>
            </w:r>
            <w:bookmarkEnd w:id="0"/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鄂州市文学艺术界联合会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鄂州市文学艺术界联合会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用于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协会的正常运行、开展活动和队伍建设。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指标1：举行主席团会议次数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指标2：组织文艺活动项目个数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指标1：生产文艺精品项目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指标2：作品创作计划调整率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指标1：作品创作计划按时完成率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指标1：预算执行率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义务演出不产生经济效益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指标1：造成社会反响的舆论或相关宣传报道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演出做好清洁工作，保证环境整洁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指标1：创造性转化，创新性发展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8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指标1：服务对象满意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2022-11-03T07:25:00Z</dcterms:created>
  <dc:creator>chs</dc:creator>
  <cp:lastModifiedBy>Administrator</cp:lastModifiedBy>
  <dcterms:modified xsi:type="dcterms:W3CDTF">2022-11-04T08:15:42Z</dcterms:modified>
  <dc:title>项目支出绩效自评表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B54FB127E0054E65A5B33992E80E5421</vt:lpwstr>
  </property>
</Properties>
</file>